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 w:rsidRPr="00941281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968012" cy="997142"/>
            <wp:effectExtent l="19050" t="0" r="0" b="0"/>
            <wp:docPr id="4" name="Immagine 3" descr="ULSS_7_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SS_7_logo(1).jpg"/>
                    <pic:cNvPicPr/>
                  </pic:nvPicPr>
                  <pic:blipFill>
                    <a:blip r:embed="rId4" cstate="print"/>
                    <a:srcRect l="26323" t="33875" r="25682" b="31707"/>
                    <a:stretch>
                      <a:fillRect/>
                    </a:stretch>
                  </pic:blipFill>
                  <pic:spPr>
                    <a:xfrm>
                      <a:off x="0" y="0"/>
                      <a:ext cx="1969705" cy="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81" w:rsidRDefault="00941281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BC791D" w:rsidRDefault="00BC791D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decorrere dall’anno 2015 le Pubbliche Amministrazioni sono tenute ad elaborare un indicatore annuale ed un indicatore trimestrale dei propri tempi medi di pagamento relativi agli acquist</w:t>
      </w:r>
      <w:r w:rsidR="006548F4">
        <w:rPr>
          <w:rFonts w:ascii="Verdana" w:hAnsi="Verdana"/>
          <w:color w:val="000000"/>
          <w:sz w:val="18"/>
          <w:szCs w:val="18"/>
        </w:rPr>
        <w:t>i di beni, servizi e forniture.(D.P.C.M. 22/09/2014).</w:t>
      </w:r>
      <w:r>
        <w:rPr>
          <w:rFonts w:ascii="Verdana" w:hAnsi="Verdana"/>
          <w:color w:val="000000"/>
          <w:sz w:val="18"/>
          <w:szCs w:val="18"/>
        </w:rPr>
        <w:br/>
        <w:t>In base alla norma questa Azienda ha calcolato l’indicatore come la somma, per ciascuna fattura emessa a titolo di una transazione commerciale, dei giorni effettivi intercorrenti tra la data di scadenza della fattura o richiesta equivalente di pagamento e la data di pagamento ai fornitori moltiplicata per l’importo dovuto, rapportata alla somma degli importi pagati nel periodo di riferimento.</w:t>
      </w:r>
      <w:r>
        <w:rPr>
          <w:rFonts w:ascii="Verdana" w:hAnsi="Verdana"/>
          <w:color w:val="000000"/>
          <w:sz w:val="18"/>
          <w:szCs w:val="18"/>
        </w:rPr>
        <w:br/>
        <w:t xml:space="preserve">Il valore dell’indicatore, rappresenta pertanto il tempo medio di ritardo o anticipo del pagamento </w:t>
      </w:r>
      <w:r w:rsidR="006548F4">
        <w:rPr>
          <w:rFonts w:ascii="Verdana" w:hAnsi="Verdana"/>
          <w:color w:val="000000"/>
          <w:sz w:val="18"/>
          <w:szCs w:val="18"/>
        </w:rPr>
        <w:t xml:space="preserve">(in rapporto al valore della transazione) </w:t>
      </w:r>
      <w:r>
        <w:rPr>
          <w:rFonts w:ascii="Verdana" w:hAnsi="Verdana"/>
          <w:color w:val="000000"/>
          <w:sz w:val="18"/>
          <w:szCs w:val="18"/>
        </w:rPr>
        <w:t>rispetto alla data di scadenza prevista dall’art. 4 comma 5 lettera b) del Decreto Legislativo 9 ottobre 2002, n. 231, come modificato dal Decreto Legislativo 9 novembre 2012, n. 192.</w:t>
      </w:r>
      <w:r>
        <w:rPr>
          <w:rFonts w:ascii="Verdana" w:hAnsi="Verdana"/>
          <w:color w:val="000000"/>
          <w:sz w:val="18"/>
          <w:szCs w:val="18"/>
        </w:rPr>
        <w:br/>
        <w:t>Il calcolo è stato effettuato</w:t>
      </w:r>
      <w:r>
        <w:rPr>
          <w:rStyle w:val="Enfasigrassetto"/>
          <w:rFonts w:ascii="Verdana" w:hAnsi="Verdana"/>
          <w:color w:val="000000"/>
          <w:sz w:val="18"/>
          <w:szCs w:val="18"/>
        </w:rPr>
        <w:t xml:space="preserve"> </w:t>
      </w:r>
      <w:r w:rsidRPr="006548F4">
        <w:rPr>
          <w:rStyle w:val="Enfasigrassetto"/>
          <w:rFonts w:ascii="Verdana" w:hAnsi="Verdana"/>
          <w:b w:val="0"/>
          <w:color w:val="000000"/>
          <w:sz w:val="18"/>
          <w:szCs w:val="18"/>
        </w:rPr>
        <w:t>su tutti i fornitori di beni e servizi con l’esclusione delle Aziende del Servizio Sanitario Regionale</w:t>
      </w:r>
      <w:r w:rsidR="006548F4" w:rsidRPr="006548F4">
        <w:rPr>
          <w:rFonts w:ascii="Verdana" w:hAnsi="Verdana"/>
          <w:color w:val="000000"/>
          <w:sz w:val="18"/>
          <w:szCs w:val="18"/>
        </w:rPr>
        <w:t xml:space="preserve"> in quanto  il  pagamento  delle corrispondenti fatture è soggetto a</w:t>
      </w:r>
      <w:r w:rsidR="006548F4">
        <w:rPr>
          <w:rFonts w:ascii="Verdana" w:hAnsi="Verdana"/>
          <w:color w:val="000000"/>
          <w:sz w:val="18"/>
          <w:szCs w:val="18"/>
        </w:rPr>
        <w:t xml:space="preserve"> compensazione regionale.</w:t>
      </w:r>
      <w:r>
        <w:rPr>
          <w:rFonts w:ascii="Verdana" w:hAnsi="Verdana"/>
          <w:color w:val="000000"/>
          <w:sz w:val="18"/>
          <w:szCs w:val="18"/>
        </w:rPr>
        <w:br/>
        <w:t xml:space="preserve">L’indicatore </w:t>
      </w:r>
      <w:r w:rsidR="002650D9">
        <w:rPr>
          <w:rFonts w:ascii="Verdana" w:hAnsi="Verdana"/>
          <w:color w:val="000000"/>
          <w:sz w:val="18"/>
          <w:szCs w:val="18"/>
        </w:rPr>
        <w:t>annuale</w:t>
      </w:r>
      <w:r w:rsidR="004B3C04">
        <w:rPr>
          <w:rFonts w:ascii="Verdana" w:hAnsi="Verdana"/>
          <w:color w:val="000000"/>
          <w:sz w:val="18"/>
          <w:szCs w:val="18"/>
        </w:rPr>
        <w:t xml:space="preserve"> viene pubblicato </w:t>
      </w:r>
      <w:r>
        <w:rPr>
          <w:rFonts w:ascii="Verdana" w:hAnsi="Verdana"/>
          <w:color w:val="000000"/>
          <w:sz w:val="18"/>
          <w:szCs w:val="18"/>
        </w:rPr>
        <w:t>entro il trentesimo giorno dalla conclusione d</w:t>
      </w:r>
      <w:r w:rsidR="004B3C04">
        <w:rPr>
          <w:rFonts w:ascii="Verdana" w:hAnsi="Verdana"/>
          <w:color w:val="000000"/>
          <w:sz w:val="18"/>
          <w:szCs w:val="18"/>
        </w:rPr>
        <w:t>el</w:t>
      </w:r>
      <w:r w:rsidR="002650D9">
        <w:rPr>
          <w:rFonts w:ascii="Verdana" w:hAnsi="Verdana"/>
          <w:color w:val="000000"/>
          <w:sz w:val="18"/>
          <w:szCs w:val="18"/>
        </w:rPr>
        <w:t>l’anno</w:t>
      </w:r>
      <w:r w:rsidR="001723B9">
        <w:rPr>
          <w:rFonts w:ascii="Verdana" w:hAnsi="Verdana"/>
          <w:color w:val="000000"/>
          <w:sz w:val="18"/>
          <w:szCs w:val="18"/>
        </w:rPr>
        <w:t xml:space="preserve"> a cui si riferisce (</w:t>
      </w:r>
      <w:r w:rsidR="002650D9">
        <w:rPr>
          <w:rFonts w:ascii="Verdana" w:hAnsi="Verdana"/>
          <w:color w:val="000000"/>
          <w:sz w:val="18"/>
          <w:szCs w:val="18"/>
        </w:rPr>
        <w:t>anno</w:t>
      </w:r>
      <w:r w:rsidR="004B3C04">
        <w:rPr>
          <w:rFonts w:ascii="Verdana" w:hAnsi="Verdana"/>
          <w:color w:val="000000"/>
          <w:sz w:val="18"/>
          <w:szCs w:val="18"/>
        </w:rPr>
        <w:t xml:space="preserve"> 201</w:t>
      </w:r>
      <w:r w:rsidR="00AE15B6">
        <w:rPr>
          <w:rFonts w:ascii="Verdana" w:hAnsi="Verdana"/>
          <w:color w:val="000000"/>
          <w:sz w:val="18"/>
          <w:szCs w:val="18"/>
        </w:rPr>
        <w:t>8</w:t>
      </w:r>
      <w:r w:rsidR="004B3C04">
        <w:rPr>
          <w:rFonts w:ascii="Verdana" w:hAnsi="Verdana"/>
          <w:color w:val="000000"/>
          <w:sz w:val="18"/>
          <w:szCs w:val="18"/>
        </w:rPr>
        <w:t xml:space="preserve"> entro il 3</w:t>
      </w:r>
      <w:r w:rsidR="006C6F7E">
        <w:rPr>
          <w:rFonts w:ascii="Verdana" w:hAnsi="Verdana"/>
          <w:color w:val="000000"/>
          <w:sz w:val="18"/>
          <w:szCs w:val="18"/>
        </w:rPr>
        <w:t>1</w:t>
      </w:r>
      <w:r w:rsidR="004B3C04">
        <w:rPr>
          <w:rFonts w:ascii="Verdana" w:hAnsi="Verdana"/>
          <w:color w:val="000000"/>
          <w:sz w:val="18"/>
          <w:szCs w:val="18"/>
        </w:rPr>
        <w:t>/</w:t>
      </w:r>
      <w:r w:rsidR="002650D9">
        <w:rPr>
          <w:rFonts w:ascii="Verdana" w:hAnsi="Verdana"/>
          <w:color w:val="000000"/>
          <w:sz w:val="18"/>
          <w:szCs w:val="18"/>
        </w:rPr>
        <w:t>01</w:t>
      </w:r>
      <w:r w:rsidR="004B3C04">
        <w:rPr>
          <w:rFonts w:ascii="Verdana" w:hAnsi="Verdana"/>
          <w:color w:val="000000"/>
          <w:sz w:val="18"/>
          <w:szCs w:val="18"/>
        </w:rPr>
        <w:t>/201</w:t>
      </w:r>
      <w:r w:rsidR="002650D9">
        <w:rPr>
          <w:rFonts w:ascii="Verdana" w:hAnsi="Verdana"/>
          <w:color w:val="000000"/>
          <w:sz w:val="18"/>
          <w:szCs w:val="18"/>
        </w:rPr>
        <w:t>9</w:t>
      </w:r>
      <w:r w:rsidR="004B3C04">
        <w:rPr>
          <w:rFonts w:ascii="Verdana" w:hAnsi="Verdana"/>
          <w:color w:val="000000"/>
          <w:sz w:val="18"/>
          <w:szCs w:val="18"/>
        </w:rPr>
        <w:t>).</w:t>
      </w:r>
    </w:p>
    <w:tbl>
      <w:tblPr>
        <w:tblStyle w:val="Grigliatabella"/>
        <w:tblW w:w="0" w:type="auto"/>
        <w:tblLook w:val="04A0"/>
      </w:tblPr>
      <w:tblGrid>
        <w:gridCol w:w="6629"/>
        <w:gridCol w:w="3149"/>
      </w:tblGrid>
      <w:tr w:rsidR="006548F4" w:rsidTr="006548F4">
        <w:trPr>
          <w:trHeight w:val="404"/>
        </w:trPr>
        <w:tc>
          <w:tcPr>
            <w:tcW w:w="6629" w:type="dxa"/>
          </w:tcPr>
          <w:p w:rsidR="006548F4" w:rsidRDefault="006548F4" w:rsidP="00BC791D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</w:tcPr>
          <w:p w:rsidR="006548F4" w:rsidRPr="006548F4" w:rsidRDefault="006548F4" w:rsidP="002650D9">
            <w:pPr>
              <w:pStyle w:val="NormaleWeb"/>
              <w:spacing w:line="288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6548F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VALORE </w:t>
            </w:r>
            <w:r w:rsidR="002650D9">
              <w:rPr>
                <w:rFonts w:ascii="Verdana" w:hAnsi="Verdana"/>
                <w:b/>
                <w:color w:val="000000"/>
                <w:sz w:val="22"/>
                <w:szCs w:val="22"/>
              </w:rPr>
              <w:t>ANNUALE</w:t>
            </w:r>
            <w:r w:rsidR="004B3C04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201</w:t>
            </w:r>
            <w:r w:rsidR="00AE15B6">
              <w:rPr>
                <w:rFonts w:ascii="Verdana" w:hAnsi="Verdana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6548F4" w:rsidTr="006548F4">
        <w:tc>
          <w:tcPr>
            <w:tcW w:w="6629" w:type="dxa"/>
          </w:tcPr>
          <w:p w:rsidR="006548F4" w:rsidRDefault="006548F4" w:rsidP="002650D9">
            <w:pPr>
              <w:pStyle w:val="NormaleWeb"/>
              <w:spacing w:line="288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Indicatore </w:t>
            </w:r>
            <w:r w:rsidR="002650D9">
              <w:rPr>
                <w:rFonts w:ascii="Verdana" w:hAnsi="Verdana"/>
                <w:color w:val="000000"/>
                <w:sz w:val="18"/>
                <w:szCs w:val="18"/>
              </w:rPr>
              <w:t>annuale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 tempestività dei pagamenti </w:t>
            </w:r>
          </w:p>
        </w:tc>
        <w:tc>
          <w:tcPr>
            <w:tcW w:w="3149" w:type="dxa"/>
          </w:tcPr>
          <w:p w:rsidR="006548F4" w:rsidRPr="006548F4" w:rsidRDefault="00AE15B6" w:rsidP="002650D9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-</w:t>
            </w:r>
            <w:r w:rsidR="002650D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21,91</w:t>
            </w:r>
          </w:p>
        </w:tc>
      </w:tr>
    </w:tbl>
    <w:p w:rsidR="006548F4" w:rsidRDefault="006548F4" w:rsidP="00BC791D">
      <w:pPr>
        <w:pStyle w:val="NormaleWeb"/>
        <w:shd w:val="clear" w:color="auto" w:fill="FFFFFF"/>
        <w:spacing w:line="288" w:lineRule="atLeast"/>
        <w:rPr>
          <w:rFonts w:ascii="Verdana" w:hAnsi="Verdana"/>
          <w:color w:val="000000"/>
          <w:sz w:val="18"/>
          <w:szCs w:val="18"/>
        </w:rPr>
      </w:pPr>
    </w:p>
    <w:p w:rsidR="002C1BD8" w:rsidRDefault="002C1BD8"/>
    <w:sectPr w:rsidR="002C1BD8" w:rsidSect="00943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C791D"/>
    <w:rsid w:val="000C75FF"/>
    <w:rsid w:val="001723B9"/>
    <w:rsid w:val="001C0896"/>
    <w:rsid w:val="0021332B"/>
    <w:rsid w:val="00222249"/>
    <w:rsid w:val="002650D9"/>
    <w:rsid w:val="002C1BD8"/>
    <w:rsid w:val="002F5AF7"/>
    <w:rsid w:val="00367DB5"/>
    <w:rsid w:val="003878AE"/>
    <w:rsid w:val="003A2697"/>
    <w:rsid w:val="003F0133"/>
    <w:rsid w:val="004375AE"/>
    <w:rsid w:val="0044032B"/>
    <w:rsid w:val="004B3C04"/>
    <w:rsid w:val="004E58B1"/>
    <w:rsid w:val="005258F4"/>
    <w:rsid w:val="00535A4E"/>
    <w:rsid w:val="005E7B61"/>
    <w:rsid w:val="00651CF6"/>
    <w:rsid w:val="006548F4"/>
    <w:rsid w:val="006C6F7E"/>
    <w:rsid w:val="00870F1F"/>
    <w:rsid w:val="00941281"/>
    <w:rsid w:val="00943E80"/>
    <w:rsid w:val="009B27A8"/>
    <w:rsid w:val="009F4CA1"/>
    <w:rsid w:val="00A22944"/>
    <w:rsid w:val="00A25C60"/>
    <w:rsid w:val="00AD66A0"/>
    <w:rsid w:val="00AE15B6"/>
    <w:rsid w:val="00B0762C"/>
    <w:rsid w:val="00B4630C"/>
    <w:rsid w:val="00B923DA"/>
    <w:rsid w:val="00BC791D"/>
    <w:rsid w:val="00BE06E8"/>
    <w:rsid w:val="00BE4CE9"/>
    <w:rsid w:val="00C411C1"/>
    <w:rsid w:val="00CA1DD1"/>
    <w:rsid w:val="00D10FA6"/>
    <w:rsid w:val="00D350EB"/>
    <w:rsid w:val="00D36741"/>
    <w:rsid w:val="00D55798"/>
    <w:rsid w:val="00D66A53"/>
    <w:rsid w:val="00DB1829"/>
    <w:rsid w:val="00DB2A83"/>
    <w:rsid w:val="00DE71FE"/>
    <w:rsid w:val="00E75D13"/>
    <w:rsid w:val="00EB6E0B"/>
    <w:rsid w:val="00F3352E"/>
    <w:rsid w:val="00F7397E"/>
    <w:rsid w:val="00FC2A3C"/>
    <w:rsid w:val="00FE5E79"/>
    <w:rsid w:val="00FF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E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C791D"/>
    <w:rPr>
      <w:b/>
      <w:bCs/>
    </w:rPr>
  </w:style>
  <w:style w:type="paragraph" w:styleId="NormaleWeb">
    <w:name w:val="Normal (Web)"/>
    <w:basedOn w:val="Normale"/>
    <w:uiPriority w:val="99"/>
    <w:unhideWhenUsed/>
    <w:rsid w:val="00BC791D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5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0567946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12" w:space="15" w:color="ECEEED"/>
                                    <w:left w:val="single" w:sz="12" w:space="23" w:color="ECEEED"/>
                                    <w:bottom w:val="single" w:sz="12" w:space="15" w:color="ECEEED"/>
                                    <w:right w:val="single" w:sz="12" w:space="23" w:color="ECEEED"/>
                                  </w:divBdr>
                                  <w:divsChild>
                                    <w:div w:id="18115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0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n.3 Bassano del Grappa (VI)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Formicola</dc:creator>
  <cp:lastModifiedBy>giuliana.perinetto</cp:lastModifiedBy>
  <cp:revision>2</cp:revision>
  <cp:lastPrinted>2019-01-21T15:44:00Z</cp:lastPrinted>
  <dcterms:created xsi:type="dcterms:W3CDTF">2019-01-21T16:44:00Z</dcterms:created>
  <dcterms:modified xsi:type="dcterms:W3CDTF">2019-01-21T16:44:00Z</dcterms:modified>
</cp:coreProperties>
</file>